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zione dei mutui non previsti espressamente in atti fondamentali del Consiglio Comunale ed emissione dei prestiti obbliga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zione dei mutui non previsti espressamente in atti fondamentali del Consiglio Comunale ed emissione dei prestiti obbliga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