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valutazione relative all'analisi dell'impatto della regolamentazione (AIR) e alla verifica dell'impatto della regolamentazione (VIR) ai sensi dell'art.14, commi 1 e 4, della legge 28 novembre 2005, n. 246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valutazione relative all'analisi dell'impatto della regolamentazione (AIR) e alla verifica dell'impatto della regolamentazione (VIR) ai sensi dell'art.14, commi 1 e 4, della legge 28 novembre 2005, n. 246.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