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ORGANI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Convenzioni con associazioni e altri enti di diritto privato non di competenza del Consiglio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Convenzioni con associazioni e altri enti di diritto privato non di competenza del Consiglio.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