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e criteri di massima per il nucleo di valutazione/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e criteri di massima per il nucleo di valutazione/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